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A84C45" w:rsidTr="00D30B3A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84C45" w:rsidRDefault="00A84C45" w:rsidP="00D30B3A">
            <w:pPr>
              <w:pStyle w:val="a3"/>
              <w:spacing w:before="0" w:beforeAutospacing="0" w:after="0" w:afterAutospacing="0" w:line="234" w:lineRule="atLeast"/>
              <w:jc w:val="center"/>
            </w:pPr>
            <w:r>
              <w:rPr>
                <w:b/>
                <w:bCs/>
                <w:sz w:val="28"/>
                <w:szCs w:val="28"/>
              </w:rPr>
              <w:t>АДМИНИСТРАЦИЯ</w:t>
            </w:r>
          </w:p>
          <w:p w:rsidR="00A84C45" w:rsidRDefault="00A84C45" w:rsidP="00D30B3A">
            <w:pPr>
              <w:pStyle w:val="a3"/>
              <w:spacing w:before="0" w:beforeAutospacing="0" w:after="0" w:afterAutospacing="0" w:line="234" w:lineRule="atLeast"/>
              <w:jc w:val="center"/>
            </w:pPr>
            <w:r>
              <w:rPr>
                <w:b/>
                <w:bCs/>
                <w:sz w:val="28"/>
                <w:szCs w:val="28"/>
              </w:rPr>
              <w:t>ЧУЛЫМСКОГО СЕЛЬСОВЕТА ЗДВИНСКОГО РАЙОНА НОВОСИБИРСКОЙ ОБЛАСТИ</w:t>
            </w:r>
          </w:p>
          <w:p w:rsidR="00A84C45" w:rsidRDefault="00A84C45" w:rsidP="00D30B3A">
            <w:pPr>
              <w:jc w:val="center"/>
              <w:rPr>
                <w:b/>
                <w:bCs/>
              </w:rPr>
            </w:pPr>
          </w:p>
          <w:p w:rsidR="00A84C45" w:rsidRDefault="00A84C45" w:rsidP="00D30B3A">
            <w:pPr>
              <w:jc w:val="center"/>
            </w:pPr>
            <w:r>
              <w:rPr>
                <w:b/>
                <w:bCs/>
              </w:rPr>
              <w:t>ПОСТАНОВЛЕНИЕ</w:t>
            </w:r>
          </w:p>
          <w:p w:rsidR="00A84C45" w:rsidRDefault="00A84C45" w:rsidP="00D30B3A">
            <w:pPr>
              <w:pStyle w:val="a3"/>
              <w:spacing w:before="0" w:beforeAutospacing="0" w:after="0" w:afterAutospacing="0" w:line="234" w:lineRule="atLeast"/>
            </w:pPr>
            <w:r>
              <w:t> </w:t>
            </w:r>
          </w:p>
          <w:p w:rsidR="00A84C45" w:rsidRDefault="00A84C45" w:rsidP="00D30B3A">
            <w:r>
              <w:rPr>
                <w:sz w:val="20"/>
                <w:szCs w:val="20"/>
              </w:rPr>
              <w:t> </w:t>
            </w:r>
          </w:p>
          <w:p w:rsidR="00A84C45" w:rsidRDefault="00A84C45" w:rsidP="00D30B3A">
            <w:r>
              <w:rPr>
                <w:sz w:val="20"/>
                <w:szCs w:val="20"/>
              </w:rPr>
              <w:t> </w:t>
            </w:r>
          </w:p>
          <w:p w:rsidR="00A84C45" w:rsidRDefault="00A84C45" w:rsidP="00D30B3A">
            <w:r>
              <w:rPr>
                <w:sz w:val="28"/>
                <w:szCs w:val="28"/>
              </w:rPr>
              <w:t> от 11</w:t>
            </w:r>
            <w:r>
              <w:rPr>
                <w:sz w:val="28"/>
                <w:szCs w:val="28"/>
              </w:rPr>
              <w:t xml:space="preserve">.08. 2022 г.                                                                                </w:t>
            </w:r>
            <w:proofErr w:type="gramStart"/>
            <w:r>
              <w:rPr>
                <w:sz w:val="28"/>
                <w:szCs w:val="28"/>
              </w:rPr>
              <w:t xml:space="preserve">№  </w:t>
            </w:r>
            <w:r>
              <w:rPr>
                <w:sz w:val="28"/>
                <w:szCs w:val="28"/>
              </w:rPr>
              <w:t>36</w:t>
            </w:r>
            <w:proofErr w:type="gramEnd"/>
            <w:r>
              <w:rPr>
                <w:sz w:val="28"/>
                <w:szCs w:val="28"/>
              </w:rPr>
              <w:t>/2</w:t>
            </w:r>
            <w:r>
              <w:rPr>
                <w:sz w:val="28"/>
                <w:szCs w:val="28"/>
              </w:rPr>
              <w:t>-па</w:t>
            </w:r>
          </w:p>
          <w:p w:rsidR="00A84C45" w:rsidRDefault="00A84C45" w:rsidP="00D30B3A">
            <w:pPr>
              <w:spacing w:line="234" w:lineRule="atLeast"/>
            </w:pPr>
            <w:r>
              <w:rPr>
                <w:color w:val="3C3C3C"/>
                <w:sz w:val="28"/>
                <w:szCs w:val="28"/>
              </w:rPr>
              <w:t> </w:t>
            </w:r>
          </w:p>
          <w:p w:rsidR="00A84C45" w:rsidRDefault="00A84C45" w:rsidP="00D30B3A">
            <w:pPr>
              <w:spacing w:line="234" w:lineRule="atLeast"/>
            </w:pPr>
            <w:r>
              <w:rPr>
                <w:sz w:val="28"/>
                <w:szCs w:val="28"/>
              </w:rPr>
              <w:t>Об утверждении допустимого времени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устранения </w:t>
            </w:r>
            <w:r>
              <w:rPr>
                <w:sz w:val="28"/>
                <w:szCs w:val="28"/>
              </w:rPr>
              <w:t xml:space="preserve">аварийных нарушений 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системе теплоснабжения жилых домов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территории Чулымского сельсовета</w:t>
            </w:r>
          </w:p>
          <w:p w:rsidR="00A84C45" w:rsidRDefault="00A84C45" w:rsidP="00D30B3A">
            <w:pPr>
              <w:spacing w:line="234" w:lineRule="atLeast"/>
            </w:pPr>
            <w:r>
              <w:rPr>
                <w:sz w:val="28"/>
                <w:szCs w:val="28"/>
              </w:rPr>
              <w:t> </w:t>
            </w:r>
          </w:p>
          <w:p w:rsidR="00A84C45" w:rsidRDefault="00A84C45" w:rsidP="00D30B3A">
            <w:pPr>
              <w:spacing w:line="234" w:lineRule="atLeast"/>
            </w:pPr>
            <w:r>
              <w:rPr>
                <w:sz w:val="28"/>
                <w:szCs w:val="28"/>
              </w:rPr>
              <w:t> </w:t>
            </w:r>
          </w:p>
          <w:p w:rsidR="00A84C45" w:rsidRPr="00A84C45" w:rsidRDefault="00A84C45" w:rsidP="00D30B3A">
            <w:pPr>
              <w:spacing w:line="315" w:lineRule="atLeast"/>
              <w:jc w:val="both"/>
              <w:textAlignment w:val="baseline"/>
            </w:pPr>
            <w:r>
              <w:rPr>
                <w:sz w:val="28"/>
                <w:szCs w:val="28"/>
              </w:rPr>
              <w:t>      В соответствии с </w:t>
            </w:r>
            <w:hyperlink r:id="rId4" w:tgtFrame="_blank" w:history="1">
              <w:r w:rsidRPr="00A84C45">
                <w:rPr>
                  <w:rStyle w:val="a4"/>
                  <w:color w:val="auto"/>
                  <w:sz w:val="28"/>
                  <w:szCs w:val="28"/>
                </w:rPr>
                <w:t>Правилами оценки готовности к отопительному периоду</w:t>
              </w:r>
            </w:hyperlink>
            <w:r w:rsidRPr="00A84C45">
              <w:rPr>
                <w:sz w:val="28"/>
                <w:szCs w:val="28"/>
              </w:rPr>
              <w:t>, утвержденными </w:t>
            </w:r>
            <w:hyperlink r:id="rId5" w:tgtFrame="_blank" w:history="1">
              <w:r w:rsidRPr="00A84C45">
                <w:rPr>
                  <w:rStyle w:val="a4"/>
                  <w:color w:val="auto"/>
                  <w:sz w:val="28"/>
                  <w:szCs w:val="28"/>
                </w:rPr>
                <w:t>Приказом Министерства энергетики Российской Федерации от 12 марта 2013 года N 103</w:t>
              </w:r>
            </w:hyperlink>
            <w:r>
              <w:rPr>
                <w:sz w:val="28"/>
                <w:szCs w:val="28"/>
              </w:rPr>
              <w:t>,администрация Чулымского сельсовета</w:t>
            </w:r>
          </w:p>
          <w:p w:rsidR="00A84C45" w:rsidRDefault="00A84C45" w:rsidP="00D30B3A">
            <w:pPr>
              <w:spacing w:line="315" w:lineRule="atLeast"/>
              <w:jc w:val="both"/>
              <w:textAlignment w:val="baseline"/>
            </w:pPr>
            <w:r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 ПОСТАНАВЛЯЕТ:</w:t>
            </w:r>
          </w:p>
          <w:p w:rsidR="00A84C45" w:rsidRDefault="00A84C45" w:rsidP="00D30B3A">
            <w:pPr>
              <w:spacing w:line="315" w:lineRule="atLeast"/>
              <w:textAlignment w:val="baseline"/>
            </w:pPr>
            <w:r>
              <w:rPr>
                <w:rFonts w:ascii="Arial" w:hAnsi="Arial" w:cs="Arial"/>
                <w:color w:val="2D2D2D"/>
                <w:sz w:val="21"/>
                <w:szCs w:val="21"/>
              </w:rPr>
              <w:t> </w:t>
            </w:r>
          </w:p>
          <w:p w:rsidR="00A84C45" w:rsidRDefault="00A84C45" w:rsidP="00D30B3A">
            <w:pPr>
              <w:spacing w:line="315" w:lineRule="atLeast"/>
              <w:textAlignment w:val="baseline"/>
            </w:pPr>
            <w:r>
              <w:rPr>
                <w:sz w:val="28"/>
                <w:szCs w:val="28"/>
              </w:rPr>
              <w:t>1. Утвердить расчет допустимого времени устранения аварийных нарушений в системе теплоснабжения жилых домов (приложение).</w:t>
            </w:r>
          </w:p>
          <w:p w:rsidR="00A84C45" w:rsidRDefault="00A84C45" w:rsidP="00D30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Обнародовать настоящее</w:t>
            </w:r>
            <w:r>
              <w:rPr>
                <w:sz w:val="28"/>
                <w:szCs w:val="28"/>
              </w:rPr>
              <w:t xml:space="preserve"> Постановление на информационных стендах, а также в сети Интернет на официальном сайте администрации Чулымского сельсовета </w:t>
            </w:r>
          </w:p>
          <w:p w:rsidR="00A84C45" w:rsidRDefault="00A84C45" w:rsidP="00D30B3A">
            <w:r>
              <w:rPr>
                <w:sz w:val="28"/>
                <w:szCs w:val="28"/>
              </w:rPr>
              <w:t>3. Контроль за исполнением настоящего постановления оставляю за собой.</w:t>
            </w:r>
          </w:p>
          <w:p w:rsidR="00A84C45" w:rsidRDefault="00A84C45" w:rsidP="00D30B3A">
            <w:r>
              <w:rPr>
                <w:sz w:val="28"/>
                <w:szCs w:val="28"/>
              </w:rPr>
              <w:t> </w:t>
            </w:r>
          </w:p>
          <w:p w:rsidR="00A84C45" w:rsidRDefault="00A84C45" w:rsidP="00D30B3A">
            <w:pPr>
              <w:rPr>
                <w:sz w:val="28"/>
                <w:szCs w:val="28"/>
              </w:rPr>
            </w:pPr>
          </w:p>
          <w:p w:rsidR="00A84C45" w:rsidRDefault="00A84C45" w:rsidP="00D30B3A">
            <w:pPr>
              <w:rPr>
                <w:sz w:val="28"/>
                <w:szCs w:val="28"/>
              </w:rPr>
            </w:pPr>
          </w:p>
          <w:p w:rsidR="00A84C45" w:rsidRDefault="00A84C45" w:rsidP="00D30B3A">
            <w:pPr>
              <w:rPr>
                <w:sz w:val="28"/>
                <w:szCs w:val="28"/>
              </w:rPr>
            </w:pPr>
          </w:p>
          <w:p w:rsidR="00A84C45" w:rsidRDefault="00A84C45" w:rsidP="00D30B3A">
            <w:pPr>
              <w:rPr>
                <w:sz w:val="28"/>
                <w:szCs w:val="28"/>
              </w:rPr>
            </w:pPr>
          </w:p>
          <w:p w:rsidR="00A84C45" w:rsidRDefault="00A84C45" w:rsidP="00D30B3A">
            <w:pPr>
              <w:rPr>
                <w:sz w:val="28"/>
                <w:szCs w:val="28"/>
              </w:rPr>
            </w:pPr>
          </w:p>
          <w:p w:rsidR="00A84C45" w:rsidRDefault="00A84C45" w:rsidP="00D30B3A">
            <w:pPr>
              <w:rPr>
                <w:sz w:val="28"/>
                <w:szCs w:val="28"/>
              </w:rPr>
            </w:pPr>
          </w:p>
          <w:p w:rsidR="00A84C45" w:rsidRDefault="00A84C45" w:rsidP="00D30B3A">
            <w:r>
              <w:rPr>
                <w:sz w:val="28"/>
                <w:szCs w:val="28"/>
              </w:rPr>
              <w:t xml:space="preserve">Глава Чулымского сельсовета                                                   Ю. А. </w:t>
            </w:r>
            <w:proofErr w:type="spellStart"/>
            <w:r>
              <w:rPr>
                <w:sz w:val="28"/>
                <w:szCs w:val="28"/>
              </w:rPr>
              <w:t>Вельбой</w:t>
            </w:r>
            <w:proofErr w:type="spellEnd"/>
          </w:p>
          <w:p w:rsidR="00A84C45" w:rsidRDefault="00A84C45" w:rsidP="00D30B3A">
            <w:r>
              <w:t> </w:t>
            </w:r>
          </w:p>
          <w:p w:rsidR="00A84C45" w:rsidRDefault="00A84C45" w:rsidP="00D30B3A">
            <w:r>
              <w:t> </w:t>
            </w:r>
          </w:p>
          <w:p w:rsidR="00A84C45" w:rsidRDefault="00A84C45" w:rsidP="00D30B3A">
            <w:r>
              <w:t> </w:t>
            </w:r>
          </w:p>
          <w:p w:rsidR="00A84C45" w:rsidRDefault="00A84C45" w:rsidP="00D30B3A">
            <w:r>
              <w:t> </w:t>
            </w:r>
          </w:p>
          <w:p w:rsidR="00A84C45" w:rsidRDefault="00A84C45" w:rsidP="00D30B3A">
            <w:r>
              <w:t> </w:t>
            </w:r>
          </w:p>
          <w:p w:rsidR="00A84C45" w:rsidRDefault="00A84C45" w:rsidP="00D30B3A">
            <w:pPr>
              <w:spacing w:line="315" w:lineRule="atLeast"/>
              <w:jc w:val="right"/>
              <w:textAlignment w:val="baseline"/>
              <w:rPr>
                <w:sz w:val="28"/>
                <w:szCs w:val="28"/>
              </w:rPr>
            </w:pPr>
          </w:p>
          <w:p w:rsidR="00A84C45" w:rsidRDefault="00A84C45" w:rsidP="00D30B3A">
            <w:pPr>
              <w:spacing w:line="315" w:lineRule="atLeast"/>
              <w:jc w:val="right"/>
              <w:textAlignment w:val="baseline"/>
              <w:rPr>
                <w:sz w:val="28"/>
                <w:szCs w:val="28"/>
              </w:rPr>
            </w:pPr>
          </w:p>
          <w:p w:rsidR="00A84C45" w:rsidRDefault="00A84C45" w:rsidP="00D30B3A">
            <w:pPr>
              <w:spacing w:line="315" w:lineRule="atLeast"/>
              <w:jc w:val="right"/>
              <w:textAlignment w:val="baseline"/>
              <w:rPr>
                <w:sz w:val="28"/>
                <w:szCs w:val="28"/>
              </w:rPr>
            </w:pPr>
          </w:p>
          <w:p w:rsidR="00A84C45" w:rsidRDefault="00A84C45" w:rsidP="00D30B3A">
            <w:pPr>
              <w:spacing w:line="315" w:lineRule="atLeast"/>
              <w:jc w:val="right"/>
              <w:textAlignment w:val="baseline"/>
              <w:rPr>
                <w:sz w:val="28"/>
                <w:szCs w:val="28"/>
              </w:rPr>
            </w:pPr>
          </w:p>
          <w:p w:rsidR="00A84C45" w:rsidRDefault="00A84C45" w:rsidP="00D30B3A">
            <w:pPr>
              <w:spacing w:line="315" w:lineRule="atLeast"/>
              <w:jc w:val="right"/>
              <w:textAlignment w:val="baseline"/>
              <w:rPr>
                <w:sz w:val="28"/>
                <w:szCs w:val="28"/>
              </w:rPr>
            </w:pPr>
          </w:p>
          <w:p w:rsidR="00A84C45" w:rsidRDefault="00A84C45" w:rsidP="00D30B3A">
            <w:pPr>
              <w:spacing w:line="315" w:lineRule="atLeast"/>
              <w:jc w:val="right"/>
              <w:textAlignment w:val="baseline"/>
            </w:pPr>
            <w:r>
              <w:rPr>
                <w:sz w:val="28"/>
                <w:szCs w:val="28"/>
              </w:rPr>
              <w:lastRenderedPageBreak/>
              <w:t>Приложение</w:t>
            </w:r>
            <w:r>
              <w:rPr>
                <w:sz w:val="28"/>
                <w:szCs w:val="28"/>
              </w:rPr>
              <w:br/>
              <w:t>к постановлению администрации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Чулымского сельсовета</w:t>
            </w:r>
            <w:r>
              <w:rPr>
                <w:sz w:val="28"/>
                <w:szCs w:val="28"/>
              </w:rPr>
              <w:br/>
              <w:t>от 11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 2022 г. № 36/2</w:t>
            </w:r>
            <w:r>
              <w:rPr>
                <w:sz w:val="28"/>
                <w:szCs w:val="28"/>
              </w:rPr>
              <w:t>-па</w:t>
            </w:r>
          </w:p>
          <w:p w:rsidR="00A84C45" w:rsidRDefault="00A84C45" w:rsidP="00D30B3A">
            <w:pPr>
              <w:spacing w:line="315" w:lineRule="atLeast"/>
              <w:jc w:val="both"/>
              <w:textAlignment w:val="baseline"/>
            </w:pPr>
            <w:r>
              <w:rPr>
                <w:sz w:val="28"/>
                <w:szCs w:val="28"/>
              </w:rPr>
              <w:br/>
              <w:t>      Замораживание трубопроводов в подвалах, лестничных клетках и на чердаках зданий многоквартирных жилых домов может произойти в случае прекращения подачи тепла при снижении температуры воздуха внутри жилых помещений до 8°C.</w:t>
            </w:r>
          </w:p>
          <w:p w:rsidR="00A84C45" w:rsidRDefault="00A84C45" w:rsidP="00D30B3A">
            <w:pPr>
              <w:spacing w:line="315" w:lineRule="atLeast"/>
              <w:jc w:val="both"/>
              <w:textAlignment w:val="baseline"/>
            </w:pPr>
            <w:r>
              <w:rPr>
                <w:sz w:val="28"/>
                <w:szCs w:val="28"/>
              </w:rPr>
              <w:br/>
              <w:t>Примерный темп падения температуры в отапливаемых помещениях (°C/ч) при полном отключении подачи тепла приведен в таблице 1.</w:t>
            </w:r>
          </w:p>
          <w:p w:rsidR="00A84C45" w:rsidRDefault="00A84C45" w:rsidP="00D30B3A">
            <w:pPr>
              <w:jc w:val="right"/>
              <w:textAlignment w:val="baseline"/>
            </w:pPr>
            <w:r>
              <w:rPr>
                <w:sz w:val="28"/>
                <w:szCs w:val="28"/>
              </w:rPr>
              <w:t>Таблица 1</w:t>
            </w:r>
          </w:p>
          <w:p w:rsidR="00A84C45" w:rsidRDefault="00A84C45" w:rsidP="00D30B3A">
            <w:pPr>
              <w:spacing w:line="315" w:lineRule="atLeast"/>
              <w:textAlignment w:val="baseline"/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tbl>
            <w:tblPr>
              <w:tblW w:w="793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109"/>
              <w:gridCol w:w="1294"/>
              <w:gridCol w:w="1109"/>
              <w:gridCol w:w="2024"/>
            </w:tblGrid>
            <w:tr w:rsidR="00A84C45" w:rsidTr="00D30B3A">
              <w:tc>
                <w:tcPr>
                  <w:tcW w:w="2402" w:type="dxa"/>
                  <w:shd w:val="clear" w:color="auto" w:fill="auto"/>
                  <w:hideMark/>
                </w:tcPr>
                <w:p w:rsidR="00A84C45" w:rsidRDefault="00A84C45" w:rsidP="00D30B3A">
                  <w:r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09" w:type="dxa"/>
                  <w:shd w:val="clear" w:color="auto" w:fill="auto"/>
                  <w:hideMark/>
                </w:tcPr>
                <w:p w:rsidR="00A84C45" w:rsidRDefault="00A84C45" w:rsidP="00D30B3A">
                  <w:r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94" w:type="dxa"/>
                  <w:shd w:val="clear" w:color="auto" w:fill="auto"/>
                  <w:hideMark/>
                </w:tcPr>
                <w:p w:rsidR="00A84C45" w:rsidRDefault="00A84C45" w:rsidP="00D30B3A">
                  <w:r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09" w:type="dxa"/>
                  <w:shd w:val="clear" w:color="auto" w:fill="auto"/>
                  <w:hideMark/>
                </w:tcPr>
                <w:p w:rsidR="00A84C45" w:rsidRDefault="00A84C45" w:rsidP="00D30B3A">
                  <w:r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24" w:type="dxa"/>
                  <w:shd w:val="clear" w:color="auto" w:fill="auto"/>
                  <w:hideMark/>
                </w:tcPr>
                <w:p w:rsidR="00A84C45" w:rsidRDefault="00A84C45" w:rsidP="00D30B3A">
                  <w:r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A84C45" w:rsidTr="00D30B3A">
              <w:tc>
                <w:tcPr>
                  <w:tcW w:w="2402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pPr>
                    <w:spacing w:line="315" w:lineRule="atLeast"/>
                    <w:jc w:val="center"/>
                    <w:textAlignment w:val="baseline"/>
                  </w:pPr>
                  <w:r>
                    <w:rPr>
                      <w:sz w:val="28"/>
                      <w:szCs w:val="28"/>
                    </w:rPr>
                    <w:t>Коэффициент аккумуляции</w:t>
                  </w:r>
                </w:p>
              </w:tc>
              <w:tc>
                <w:tcPr>
                  <w:tcW w:w="5536" w:type="dxa"/>
                  <w:gridSpan w:val="4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pPr>
                    <w:spacing w:line="315" w:lineRule="atLeast"/>
                    <w:jc w:val="center"/>
                    <w:textAlignment w:val="baseline"/>
                  </w:pPr>
                  <w:r>
                    <w:rPr>
                      <w:sz w:val="28"/>
                      <w:szCs w:val="28"/>
                    </w:rPr>
                    <w:t>Темп падения температуры, °C/ч при температуре наружного воздуха, °C</w:t>
                  </w:r>
                </w:p>
              </w:tc>
            </w:tr>
            <w:tr w:rsidR="00A84C45" w:rsidTr="00D30B3A">
              <w:tc>
                <w:tcPr>
                  <w:tcW w:w="2402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r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0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pPr>
                    <w:spacing w:line="315" w:lineRule="atLeast"/>
                    <w:jc w:val="center"/>
                    <w:textAlignment w:val="baseline"/>
                  </w:pPr>
                  <w:r>
                    <w:rPr>
                      <w:sz w:val="28"/>
                      <w:szCs w:val="28"/>
                    </w:rPr>
                    <w:t>+/-0</w:t>
                  </w:r>
                </w:p>
              </w:tc>
              <w:tc>
                <w:tcPr>
                  <w:tcW w:w="129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pPr>
                    <w:spacing w:line="315" w:lineRule="atLeast"/>
                    <w:jc w:val="center"/>
                    <w:textAlignment w:val="baseline"/>
                  </w:pPr>
                  <w:r>
                    <w:rPr>
                      <w:sz w:val="28"/>
                      <w:szCs w:val="28"/>
                    </w:rPr>
                    <w:t>-10</w:t>
                  </w:r>
                </w:p>
              </w:tc>
              <w:tc>
                <w:tcPr>
                  <w:tcW w:w="110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pPr>
                    <w:spacing w:line="315" w:lineRule="atLeast"/>
                    <w:jc w:val="center"/>
                    <w:textAlignment w:val="baseline"/>
                  </w:pPr>
                  <w:r>
                    <w:rPr>
                      <w:sz w:val="28"/>
                      <w:szCs w:val="28"/>
                    </w:rPr>
                    <w:t>-20</w:t>
                  </w:r>
                </w:p>
              </w:tc>
              <w:tc>
                <w:tcPr>
                  <w:tcW w:w="202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pPr>
                    <w:spacing w:line="315" w:lineRule="atLeast"/>
                    <w:jc w:val="center"/>
                    <w:textAlignment w:val="baseline"/>
                  </w:pPr>
                  <w:r>
                    <w:rPr>
                      <w:sz w:val="28"/>
                      <w:szCs w:val="28"/>
                    </w:rPr>
                    <w:t>-30</w:t>
                  </w:r>
                </w:p>
              </w:tc>
            </w:tr>
            <w:tr w:rsidR="00A84C45" w:rsidTr="00D30B3A">
              <w:tc>
                <w:tcPr>
                  <w:tcW w:w="2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pPr>
                    <w:spacing w:line="315" w:lineRule="atLeast"/>
                    <w:jc w:val="center"/>
                    <w:textAlignment w:val="baseline"/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10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pPr>
                    <w:spacing w:line="315" w:lineRule="atLeast"/>
                    <w:jc w:val="center"/>
                    <w:textAlignment w:val="baseline"/>
                  </w:pPr>
                  <w:r>
                    <w:rPr>
                      <w:sz w:val="28"/>
                      <w:szCs w:val="28"/>
                    </w:rPr>
                    <w:t>0,8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pPr>
                    <w:spacing w:line="315" w:lineRule="atLeast"/>
                    <w:jc w:val="center"/>
                    <w:textAlignment w:val="baseline"/>
                  </w:pPr>
                  <w:r>
                    <w:rPr>
                      <w:sz w:val="28"/>
                      <w:szCs w:val="28"/>
                    </w:rPr>
                    <w:t>1,4</w:t>
                  </w:r>
                </w:p>
              </w:tc>
              <w:tc>
                <w:tcPr>
                  <w:tcW w:w="110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pPr>
                    <w:spacing w:line="315" w:lineRule="atLeast"/>
                    <w:jc w:val="center"/>
                    <w:textAlignment w:val="baseline"/>
                  </w:pPr>
                  <w:r>
                    <w:rPr>
                      <w:sz w:val="28"/>
                      <w:szCs w:val="28"/>
                    </w:rPr>
                    <w:t>1,8</w:t>
                  </w:r>
                </w:p>
              </w:tc>
              <w:tc>
                <w:tcPr>
                  <w:tcW w:w="20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pPr>
                    <w:spacing w:line="315" w:lineRule="atLeast"/>
                    <w:jc w:val="center"/>
                    <w:textAlignment w:val="baseline"/>
                  </w:pPr>
                  <w:r>
                    <w:rPr>
                      <w:sz w:val="28"/>
                      <w:szCs w:val="28"/>
                    </w:rPr>
                    <w:t>2,4</w:t>
                  </w:r>
                </w:p>
              </w:tc>
            </w:tr>
            <w:tr w:rsidR="00A84C45" w:rsidTr="00D30B3A">
              <w:tc>
                <w:tcPr>
                  <w:tcW w:w="24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pPr>
                    <w:spacing w:line="315" w:lineRule="atLeast"/>
                    <w:jc w:val="center"/>
                    <w:textAlignment w:val="baseline"/>
                  </w:pPr>
                  <w:r>
                    <w:rPr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10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pPr>
                    <w:spacing w:line="315" w:lineRule="atLeast"/>
                    <w:jc w:val="center"/>
                    <w:textAlignment w:val="baseline"/>
                  </w:pPr>
                  <w:r>
                    <w:rPr>
                      <w:sz w:val="28"/>
                      <w:szCs w:val="28"/>
                    </w:rPr>
                    <w:t>0,5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pPr>
                    <w:spacing w:line="315" w:lineRule="atLeast"/>
                    <w:jc w:val="center"/>
                    <w:textAlignment w:val="baseline"/>
                  </w:pPr>
                  <w:r>
                    <w:rPr>
                      <w:sz w:val="28"/>
                      <w:szCs w:val="28"/>
                    </w:rPr>
                    <w:t>0,8</w:t>
                  </w:r>
                </w:p>
              </w:tc>
              <w:tc>
                <w:tcPr>
                  <w:tcW w:w="110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pPr>
                    <w:spacing w:line="315" w:lineRule="atLeast"/>
                    <w:jc w:val="center"/>
                    <w:textAlignment w:val="baseline"/>
                  </w:pPr>
                  <w:r>
                    <w:rPr>
                      <w:sz w:val="28"/>
                      <w:szCs w:val="28"/>
                    </w:rPr>
                    <w:t>1,1</w:t>
                  </w:r>
                </w:p>
              </w:tc>
              <w:tc>
                <w:tcPr>
                  <w:tcW w:w="20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pPr>
                    <w:spacing w:line="315" w:lineRule="atLeast"/>
                    <w:jc w:val="center"/>
                    <w:textAlignment w:val="baseline"/>
                  </w:pPr>
                  <w:r>
                    <w:rPr>
                      <w:sz w:val="28"/>
                      <w:szCs w:val="28"/>
                    </w:rPr>
                    <w:t>1,5</w:t>
                  </w:r>
                </w:p>
              </w:tc>
            </w:tr>
            <w:tr w:rsidR="00A84C45" w:rsidTr="00D30B3A">
              <w:tc>
                <w:tcPr>
                  <w:tcW w:w="24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pPr>
                    <w:spacing w:line="315" w:lineRule="atLeast"/>
                    <w:jc w:val="center"/>
                    <w:textAlignment w:val="baseline"/>
                  </w:pPr>
                  <w:r>
                    <w:rPr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110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pPr>
                    <w:spacing w:line="315" w:lineRule="atLeast"/>
                    <w:jc w:val="center"/>
                    <w:textAlignment w:val="baseline"/>
                  </w:pPr>
                  <w:r>
                    <w:rPr>
                      <w:sz w:val="28"/>
                      <w:szCs w:val="28"/>
                    </w:rPr>
                    <w:t>0,4</w:t>
                  </w: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pPr>
                    <w:spacing w:line="315" w:lineRule="atLeast"/>
                    <w:jc w:val="center"/>
                    <w:textAlignment w:val="baseline"/>
                  </w:pPr>
                  <w:r>
                    <w:rPr>
                      <w:sz w:val="28"/>
                      <w:szCs w:val="28"/>
                    </w:rPr>
                    <w:t>0,6</w:t>
                  </w:r>
                </w:p>
              </w:tc>
              <w:tc>
                <w:tcPr>
                  <w:tcW w:w="110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pPr>
                    <w:spacing w:line="315" w:lineRule="atLeast"/>
                    <w:jc w:val="center"/>
                    <w:textAlignment w:val="baseline"/>
                  </w:pPr>
                  <w:r>
                    <w:rPr>
                      <w:sz w:val="28"/>
                      <w:szCs w:val="28"/>
                    </w:rPr>
                    <w:t>0,8</w:t>
                  </w:r>
                </w:p>
              </w:tc>
              <w:tc>
                <w:tcPr>
                  <w:tcW w:w="20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pPr>
                    <w:spacing w:line="315" w:lineRule="atLeast"/>
                    <w:jc w:val="center"/>
                    <w:textAlignment w:val="baseline"/>
                  </w:pPr>
                  <w:r>
                    <w:rPr>
                      <w:sz w:val="28"/>
                      <w:szCs w:val="28"/>
                    </w:rPr>
                    <w:t>1,0</w:t>
                  </w:r>
                </w:p>
              </w:tc>
            </w:tr>
          </w:tbl>
          <w:p w:rsidR="00A84C45" w:rsidRDefault="00A84C45" w:rsidP="00D30B3A">
            <w:pPr>
              <w:spacing w:line="315" w:lineRule="atLeast"/>
              <w:textAlignment w:val="baseline"/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Коэффициент аккумуляции характеризует величину тепловой аккумуляции зданий и зависит от толщины стен, коэффициента теплопередачи и коэффициента остекления. Коэффициенты аккумуляции тепла для жилых зданий приведены в таблице 2.</w:t>
            </w:r>
          </w:p>
          <w:p w:rsidR="00A84C45" w:rsidRDefault="00A84C45" w:rsidP="00D30B3A">
            <w:pPr>
              <w:jc w:val="right"/>
              <w:textAlignment w:val="baseline"/>
            </w:pPr>
            <w:r>
              <w:rPr>
                <w:sz w:val="28"/>
                <w:szCs w:val="28"/>
              </w:rPr>
              <w:t>Таблица 2</w:t>
            </w:r>
          </w:p>
          <w:p w:rsidR="00A84C45" w:rsidRDefault="00A84C45" w:rsidP="00D30B3A">
            <w:pPr>
              <w:spacing w:line="315" w:lineRule="atLeast"/>
              <w:textAlignment w:val="baseline"/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4807"/>
              <w:gridCol w:w="1711"/>
              <w:gridCol w:w="2011"/>
            </w:tblGrid>
            <w:tr w:rsidR="00A84C45" w:rsidTr="00D30B3A">
              <w:tc>
                <w:tcPr>
                  <w:tcW w:w="554" w:type="dxa"/>
                  <w:shd w:val="clear" w:color="auto" w:fill="auto"/>
                  <w:hideMark/>
                </w:tcPr>
                <w:p w:rsidR="00A84C45" w:rsidRDefault="00A84C45" w:rsidP="00D30B3A">
                  <w:r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729" w:type="dxa"/>
                  <w:shd w:val="clear" w:color="auto" w:fill="auto"/>
                  <w:hideMark/>
                </w:tcPr>
                <w:p w:rsidR="00A84C45" w:rsidRDefault="00A84C45" w:rsidP="00D30B3A">
                  <w:r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63" w:type="dxa"/>
                  <w:shd w:val="clear" w:color="auto" w:fill="auto"/>
                  <w:hideMark/>
                </w:tcPr>
                <w:p w:rsidR="00A84C45" w:rsidRDefault="00A84C45" w:rsidP="00D30B3A">
                  <w:r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33" w:type="dxa"/>
                  <w:shd w:val="clear" w:color="auto" w:fill="auto"/>
                  <w:hideMark/>
                </w:tcPr>
                <w:p w:rsidR="00A84C45" w:rsidRDefault="00A84C45" w:rsidP="00D30B3A">
                  <w:r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A84C45" w:rsidTr="00D30B3A">
              <w:tc>
                <w:tcPr>
                  <w:tcW w:w="5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pPr>
                    <w:spacing w:line="315" w:lineRule="atLeast"/>
                    <w:jc w:val="center"/>
                    <w:textAlignment w:val="baseline"/>
                  </w:pPr>
                  <w:r>
                    <w:rPr>
                      <w:sz w:val="28"/>
                      <w:szCs w:val="28"/>
                    </w:rPr>
                    <w:t>N п/п</w:t>
                  </w:r>
                </w:p>
              </w:tc>
              <w:tc>
                <w:tcPr>
                  <w:tcW w:w="572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pPr>
                    <w:spacing w:line="315" w:lineRule="atLeast"/>
                    <w:jc w:val="center"/>
                    <w:textAlignment w:val="baseline"/>
                  </w:pPr>
                  <w:r>
                    <w:rPr>
                      <w:sz w:val="28"/>
                      <w:szCs w:val="28"/>
                    </w:rPr>
                    <w:t>Характеристика зданий</w:t>
                  </w:r>
                </w:p>
              </w:tc>
              <w:tc>
                <w:tcPr>
                  <w:tcW w:w="166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pPr>
                    <w:spacing w:line="315" w:lineRule="atLeast"/>
                    <w:jc w:val="center"/>
                    <w:textAlignment w:val="baseline"/>
                  </w:pPr>
                  <w:r>
                    <w:rPr>
                      <w:sz w:val="28"/>
                      <w:szCs w:val="28"/>
                    </w:rPr>
                    <w:t>Помещения</w:t>
                  </w:r>
                </w:p>
              </w:tc>
              <w:tc>
                <w:tcPr>
                  <w:tcW w:w="203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pPr>
                    <w:spacing w:line="315" w:lineRule="atLeast"/>
                    <w:jc w:val="center"/>
                    <w:textAlignment w:val="baseline"/>
                  </w:pPr>
                  <w:r>
                    <w:rPr>
                      <w:sz w:val="28"/>
                      <w:szCs w:val="28"/>
                    </w:rPr>
                    <w:t>Коэффициент аккумуляции</w:t>
                  </w:r>
                </w:p>
              </w:tc>
            </w:tr>
            <w:tr w:rsidR="00A84C45" w:rsidTr="00D30B3A">
              <w:tc>
                <w:tcPr>
                  <w:tcW w:w="55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pPr>
                    <w:spacing w:line="315" w:lineRule="atLeast"/>
                    <w:jc w:val="center"/>
                    <w:textAlignment w:val="baseline"/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72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pPr>
                    <w:spacing w:line="315" w:lineRule="atLeast"/>
                    <w:textAlignment w:val="baseline"/>
                  </w:pPr>
                  <w:r>
                    <w:rPr>
                      <w:sz w:val="28"/>
                      <w:szCs w:val="28"/>
                    </w:rPr>
                    <w:t xml:space="preserve">Дом из объемных элементов с наружными ограждениями из железобетонных вибропрокатных элементов, утепленных </w:t>
                  </w:r>
                  <w:proofErr w:type="spellStart"/>
                  <w:r>
                    <w:rPr>
                      <w:sz w:val="28"/>
                      <w:szCs w:val="28"/>
                    </w:rPr>
                    <w:t>минераловатными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плитами. Толщина наружной стены - 22 см, толщина утеплителя в зоне стыкования с ребрами - 5 см, между ребрами - 7 см. Общая толщина железобетонных элементов между ребрами - 30 - 40 мм</w:t>
                  </w:r>
                </w:p>
              </w:tc>
              <w:tc>
                <w:tcPr>
                  <w:tcW w:w="166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pPr>
                    <w:spacing w:line="315" w:lineRule="atLeast"/>
                    <w:jc w:val="center"/>
                    <w:textAlignment w:val="baseline"/>
                  </w:pPr>
                  <w:r>
                    <w:rPr>
                      <w:sz w:val="28"/>
                      <w:szCs w:val="28"/>
                    </w:rPr>
                    <w:t>Угловые верхнего этажа</w:t>
                  </w:r>
                </w:p>
              </w:tc>
              <w:tc>
                <w:tcPr>
                  <w:tcW w:w="203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pPr>
                    <w:spacing w:line="315" w:lineRule="atLeast"/>
                    <w:jc w:val="center"/>
                    <w:textAlignment w:val="baseline"/>
                  </w:pPr>
                  <w:r>
                    <w:rPr>
                      <w:sz w:val="28"/>
                      <w:szCs w:val="28"/>
                    </w:rPr>
                    <w:t>40</w:t>
                  </w:r>
                </w:p>
              </w:tc>
            </w:tr>
            <w:tr w:rsidR="00A84C45" w:rsidTr="00D30B3A">
              <w:tc>
                <w:tcPr>
                  <w:tcW w:w="55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pPr>
                    <w:spacing w:line="315" w:lineRule="atLeast"/>
                    <w:jc w:val="center"/>
                    <w:textAlignment w:val="baseline"/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72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pPr>
                    <w:spacing w:line="315" w:lineRule="atLeast"/>
                    <w:textAlignment w:val="baseline"/>
                  </w:pPr>
                  <w:r>
                    <w:rPr>
                      <w:sz w:val="28"/>
                      <w:szCs w:val="28"/>
                    </w:rPr>
                    <w:t xml:space="preserve">Кирпичные жилые здания с толщиной стен в 2,5 кирпича и </w:t>
                  </w:r>
                  <w:r>
                    <w:rPr>
                      <w:sz w:val="28"/>
                      <w:szCs w:val="28"/>
                    </w:rPr>
                    <w:lastRenderedPageBreak/>
                    <w:t>коэффициентом остекления 0,18 - 0,25</w:t>
                  </w:r>
                </w:p>
              </w:tc>
              <w:tc>
                <w:tcPr>
                  <w:tcW w:w="166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pPr>
                    <w:spacing w:line="315" w:lineRule="atLeast"/>
                    <w:jc w:val="center"/>
                    <w:textAlignment w:val="baseline"/>
                  </w:pPr>
                  <w:r>
                    <w:rPr>
                      <w:sz w:val="28"/>
                      <w:szCs w:val="28"/>
                    </w:rPr>
                    <w:lastRenderedPageBreak/>
                    <w:t>Угловые средние</w:t>
                  </w:r>
                </w:p>
              </w:tc>
              <w:tc>
                <w:tcPr>
                  <w:tcW w:w="203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pPr>
                    <w:spacing w:line="315" w:lineRule="atLeast"/>
                    <w:jc w:val="center"/>
                    <w:textAlignment w:val="baseline"/>
                  </w:pPr>
                  <w:r>
                    <w:rPr>
                      <w:sz w:val="28"/>
                      <w:szCs w:val="28"/>
                    </w:rPr>
                    <w:t>65 - 60</w:t>
                  </w:r>
                </w:p>
                <w:p w:rsidR="00A84C45" w:rsidRDefault="00A84C45" w:rsidP="00D30B3A">
                  <w:pPr>
                    <w:spacing w:line="315" w:lineRule="atLeast"/>
                    <w:jc w:val="center"/>
                    <w:textAlignment w:val="baseline"/>
                  </w:pPr>
                  <w:r>
                    <w:rPr>
                      <w:sz w:val="28"/>
                      <w:szCs w:val="28"/>
                    </w:rPr>
                    <w:t>100 - 65</w:t>
                  </w:r>
                </w:p>
              </w:tc>
            </w:tr>
          </w:tbl>
          <w:p w:rsidR="00A84C45" w:rsidRDefault="00A84C45" w:rsidP="00D30B3A">
            <w:pPr>
              <w:spacing w:line="315" w:lineRule="atLeast"/>
              <w:jc w:val="both"/>
              <w:textAlignment w:val="baseline"/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 </w:t>
            </w:r>
            <w:r>
              <w:rPr>
                <w:rFonts w:ascii="Arial" w:hAnsi="Arial" w:cs="Arial"/>
                <w:color w:val="2D2D2D"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    На основании данных, приведенных в таблице 2, можно оценить время, имеющееся для ликвидации аварии или принятия мер по предотвращению лавинообразного развития аварий, т.е. замерзания теплоносителя в системах отопления зданий, в которые прекращена подача тепла.</w:t>
            </w:r>
          </w:p>
          <w:p w:rsidR="00A84C45" w:rsidRDefault="00A84C45" w:rsidP="00D30B3A">
            <w:pPr>
              <w:spacing w:line="315" w:lineRule="atLeast"/>
              <w:jc w:val="both"/>
              <w:textAlignment w:val="baseline"/>
            </w:pPr>
            <w:r>
              <w:rPr>
                <w:rFonts w:ascii="Arial" w:hAnsi="Arial" w:cs="Arial"/>
                <w:color w:val="2D2D2D"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      К примеру, в отключенном в результате аварии квартале имеются здания, у которых коэффициент аккумуляции для углового помещения верхнего этажа равен 40. Если авария произошла при температуре наружного воздуха -20°C, то по таблице 1 определяется темп падения температуры, равный 1,1°C в час. Время снижения температуры в квартире с 18 до 8°C, при которой в подвалах и на лестничных клетках может произойти замерзание теплоносителя и труб, определится как (18 - 8)/1,1 и составит 9 ч.</w:t>
            </w:r>
          </w:p>
          <w:p w:rsidR="00A84C45" w:rsidRDefault="00A84C45" w:rsidP="00D30B3A">
            <w:pPr>
              <w:spacing w:line="315" w:lineRule="atLeast"/>
              <w:jc w:val="both"/>
              <w:textAlignment w:val="baseline"/>
            </w:pPr>
            <w:r>
              <w:rPr>
                <w:rFonts w:ascii="Arial" w:hAnsi="Arial" w:cs="Arial"/>
                <w:color w:val="2D2D2D"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         Если в результате аварии отключено несколько зданий, то определение времени, имеющегося в распоряжении на ликвидацию аварии или принятие мер по предотвращению развития аварии, производится по зданию, имеющему наименьший коэффициент аккумуляции.</w:t>
            </w:r>
          </w:p>
          <w:p w:rsidR="00A84C45" w:rsidRDefault="00A84C45" w:rsidP="00D30B3A">
            <w:pPr>
              <w:spacing w:line="315" w:lineRule="atLeast"/>
              <w:jc w:val="both"/>
              <w:textAlignment w:val="baseline"/>
            </w:pPr>
            <w:r>
              <w:rPr>
                <w:sz w:val="28"/>
                <w:szCs w:val="28"/>
              </w:rPr>
              <w:t> </w:t>
            </w:r>
          </w:p>
          <w:p w:rsidR="00A84C45" w:rsidRDefault="00A84C45" w:rsidP="00D30B3A">
            <w:pPr>
              <w:jc w:val="center"/>
              <w:textAlignment w:val="baseline"/>
            </w:pPr>
            <w:r>
              <w:rPr>
                <w:sz w:val="28"/>
                <w:szCs w:val="28"/>
              </w:rPr>
              <w:t>Расчет допустимого времени устранения аварийных нарушений в работе систем отопления жилых домов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9"/>
              <w:gridCol w:w="1422"/>
              <w:gridCol w:w="2664"/>
              <w:gridCol w:w="1422"/>
              <w:gridCol w:w="2528"/>
            </w:tblGrid>
            <w:tr w:rsidR="00A84C45" w:rsidTr="00D30B3A">
              <w:tc>
                <w:tcPr>
                  <w:tcW w:w="1294" w:type="dxa"/>
                  <w:shd w:val="clear" w:color="auto" w:fill="auto"/>
                  <w:hideMark/>
                </w:tcPr>
                <w:p w:rsidR="00A84C45" w:rsidRDefault="00A84C45" w:rsidP="00D30B3A">
                  <w:r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78" w:type="dxa"/>
                  <w:shd w:val="clear" w:color="auto" w:fill="auto"/>
                  <w:hideMark/>
                </w:tcPr>
                <w:p w:rsidR="00A84C45" w:rsidRDefault="00A84C45" w:rsidP="00D30B3A">
                  <w:r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957" w:type="dxa"/>
                  <w:shd w:val="clear" w:color="auto" w:fill="auto"/>
                  <w:hideMark/>
                </w:tcPr>
                <w:p w:rsidR="00A84C45" w:rsidRDefault="00A84C45" w:rsidP="00D30B3A">
                  <w:r>
                    <w:t> </w:t>
                  </w:r>
                </w:p>
              </w:tc>
              <w:tc>
                <w:tcPr>
                  <w:tcW w:w="1478" w:type="dxa"/>
                  <w:shd w:val="clear" w:color="auto" w:fill="auto"/>
                  <w:hideMark/>
                </w:tcPr>
                <w:p w:rsidR="00A84C45" w:rsidRDefault="00A84C45" w:rsidP="00D30B3A">
                  <w:r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772" w:type="dxa"/>
                  <w:shd w:val="clear" w:color="auto" w:fill="auto"/>
                  <w:hideMark/>
                </w:tcPr>
                <w:p w:rsidR="00A84C45" w:rsidRDefault="00A84C45" w:rsidP="00D30B3A">
                  <w:r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A84C45" w:rsidTr="00D30B3A">
              <w:tc>
                <w:tcPr>
                  <w:tcW w:w="1294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pPr>
                    <w:spacing w:line="315" w:lineRule="atLeast"/>
                    <w:jc w:val="center"/>
                    <w:textAlignment w:val="baseline"/>
                  </w:pPr>
                  <w:proofErr w:type="spellStart"/>
                  <w:r>
                    <w:rPr>
                      <w:color w:val="2D2D2D"/>
                      <w:sz w:val="28"/>
                      <w:szCs w:val="28"/>
                    </w:rPr>
                    <w:t>Тнв</w:t>
                  </w:r>
                  <w:proofErr w:type="spellEnd"/>
                  <w:r>
                    <w:rPr>
                      <w:color w:val="2D2D2D"/>
                      <w:sz w:val="28"/>
                      <w:szCs w:val="28"/>
                    </w:rPr>
                    <w:t>, °C</w:t>
                  </w:r>
                </w:p>
              </w:tc>
              <w:tc>
                <w:tcPr>
                  <w:tcW w:w="4435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pPr>
                    <w:spacing w:line="315" w:lineRule="atLeast"/>
                    <w:jc w:val="center"/>
                    <w:textAlignment w:val="baseline"/>
                  </w:pPr>
                  <w:r>
                    <w:rPr>
                      <w:color w:val="2D2D2D"/>
                      <w:sz w:val="28"/>
                      <w:szCs w:val="28"/>
                    </w:rPr>
                    <w:t>При коэффициенте аккумуляции 60</w:t>
                  </w:r>
                </w:p>
              </w:tc>
              <w:tc>
                <w:tcPr>
                  <w:tcW w:w="4250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pPr>
                    <w:spacing w:line="315" w:lineRule="atLeast"/>
                    <w:jc w:val="center"/>
                    <w:textAlignment w:val="baseline"/>
                  </w:pPr>
                  <w:r>
                    <w:rPr>
                      <w:color w:val="2D2D2D"/>
                      <w:sz w:val="28"/>
                      <w:szCs w:val="28"/>
                    </w:rPr>
                    <w:t>При коэффициенте аккумуляции 40</w:t>
                  </w:r>
                </w:p>
              </w:tc>
            </w:tr>
            <w:tr w:rsidR="00A84C45" w:rsidTr="00D30B3A">
              <w:tc>
                <w:tcPr>
                  <w:tcW w:w="1294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r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pPr>
                    <w:spacing w:line="315" w:lineRule="atLeast"/>
                    <w:jc w:val="center"/>
                    <w:textAlignment w:val="baseline"/>
                  </w:pPr>
                  <w:r>
                    <w:rPr>
                      <w:color w:val="2D2D2D"/>
                      <w:sz w:val="28"/>
                      <w:szCs w:val="28"/>
                    </w:rPr>
                    <w:t xml:space="preserve">Темп падения </w:t>
                  </w:r>
                  <w:proofErr w:type="spellStart"/>
                  <w:r>
                    <w:rPr>
                      <w:color w:val="2D2D2D"/>
                      <w:sz w:val="28"/>
                      <w:szCs w:val="28"/>
                    </w:rPr>
                    <w:t>Твн</w:t>
                  </w:r>
                  <w:proofErr w:type="spellEnd"/>
                  <w:r>
                    <w:rPr>
                      <w:color w:val="2D2D2D"/>
                      <w:sz w:val="28"/>
                      <w:szCs w:val="28"/>
                    </w:rPr>
                    <w:t>, °C/ч</w:t>
                  </w:r>
                </w:p>
              </w:tc>
              <w:tc>
                <w:tcPr>
                  <w:tcW w:w="295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pPr>
                    <w:spacing w:line="315" w:lineRule="atLeast"/>
                    <w:jc w:val="center"/>
                    <w:textAlignment w:val="baseline"/>
                  </w:pPr>
                  <w:r>
                    <w:rPr>
                      <w:color w:val="2D2D2D"/>
                      <w:sz w:val="28"/>
                      <w:szCs w:val="28"/>
                    </w:rPr>
                    <w:t>Допустимое время на устранение аварийных нарушений, часов (время снижения температуры в квартирах с 18°C до 8°C)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pPr>
                    <w:spacing w:line="315" w:lineRule="atLeast"/>
                    <w:jc w:val="center"/>
                    <w:textAlignment w:val="baseline"/>
                  </w:pPr>
                  <w:r>
                    <w:rPr>
                      <w:color w:val="2D2D2D"/>
                      <w:sz w:val="28"/>
                      <w:szCs w:val="28"/>
                    </w:rPr>
                    <w:t xml:space="preserve">Темп падения </w:t>
                  </w:r>
                  <w:proofErr w:type="spellStart"/>
                  <w:r>
                    <w:rPr>
                      <w:color w:val="2D2D2D"/>
                      <w:sz w:val="28"/>
                      <w:szCs w:val="28"/>
                    </w:rPr>
                    <w:t>Твн</w:t>
                  </w:r>
                  <w:proofErr w:type="spellEnd"/>
                  <w:r>
                    <w:rPr>
                      <w:color w:val="2D2D2D"/>
                      <w:sz w:val="28"/>
                      <w:szCs w:val="28"/>
                    </w:rPr>
                    <w:t>, °C/ч</w:t>
                  </w:r>
                </w:p>
              </w:tc>
              <w:tc>
                <w:tcPr>
                  <w:tcW w:w="277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pPr>
                    <w:spacing w:line="315" w:lineRule="atLeast"/>
                    <w:jc w:val="center"/>
                    <w:textAlignment w:val="baseline"/>
                  </w:pPr>
                  <w:r>
                    <w:rPr>
                      <w:color w:val="2D2D2D"/>
                      <w:sz w:val="28"/>
                      <w:szCs w:val="28"/>
                    </w:rPr>
                    <w:t xml:space="preserve">Допустимое </w:t>
                  </w:r>
                  <w:proofErr w:type="spellStart"/>
                  <w:r>
                    <w:rPr>
                      <w:color w:val="2D2D2D"/>
                      <w:sz w:val="28"/>
                      <w:szCs w:val="28"/>
                    </w:rPr>
                    <w:t>време</w:t>
                  </w:r>
                  <w:proofErr w:type="spellEnd"/>
                  <w:r>
                    <w:rPr>
                      <w:color w:val="2D2D2D"/>
                      <w:sz w:val="28"/>
                      <w:szCs w:val="28"/>
                    </w:rPr>
                    <w:t xml:space="preserve"> на устранения аварийных нарушений, часов (время снижения температуры в квартирах с 18°C до 8°C)</w:t>
                  </w:r>
                </w:p>
              </w:tc>
            </w:tr>
            <w:tr w:rsidR="00A84C45" w:rsidTr="00D30B3A">
              <w:tc>
                <w:tcPr>
                  <w:tcW w:w="12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pPr>
                    <w:spacing w:line="315" w:lineRule="atLeast"/>
                    <w:jc w:val="center"/>
                    <w:textAlignment w:val="baseline"/>
                  </w:pPr>
                  <w:r>
                    <w:rPr>
                      <w:color w:val="2D2D2D"/>
                      <w:sz w:val="28"/>
                      <w:szCs w:val="28"/>
                    </w:rPr>
                    <w:t>+0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pPr>
                    <w:spacing w:line="315" w:lineRule="atLeast"/>
                    <w:jc w:val="center"/>
                    <w:textAlignment w:val="baseline"/>
                  </w:pPr>
                  <w:r>
                    <w:rPr>
                      <w:color w:val="2D2D2D"/>
                      <w:sz w:val="28"/>
                      <w:szCs w:val="28"/>
                    </w:rPr>
                    <w:t>0,4</w:t>
                  </w:r>
                </w:p>
              </w:tc>
              <w:tc>
                <w:tcPr>
                  <w:tcW w:w="295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pPr>
                    <w:spacing w:line="315" w:lineRule="atLeast"/>
                    <w:jc w:val="center"/>
                    <w:textAlignment w:val="baseline"/>
                  </w:pPr>
                  <w:r>
                    <w:rPr>
                      <w:color w:val="2D2D2D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pPr>
                    <w:spacing w:line="315" w:lineRule="atLeast"/>
                    <w:jc w:val="center"/>
                    <w:textAlignment w:val="baseline"/>
                  </w:pPr>
                  <w:r>
                    <w:rPr>
                      <w:color w:val="2D2D2D"/>
                      <w:sz w:val="28"/>
                      <w:szCs w:val="28"/>
                    </w:rPr>
                    <w:t>0,5</w:t>
                  </w:r>
                </w:p>
              </w:tc>
              <w:tc>
                <w:tcPr>
                  <w:tcW w:w="277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pPr>
                    <w:spacing w:line="315" w:lineRule="atLeast"/>
                    <w:jc w:val="center"/>
                    <w:textAlignment w:val="baseline"/>
                  </w:pPr>
                  <w:r>
                    <w:rPr>
                      <w:color w:val="2D2D2D"/>
                      <w:sz w:val="28"/>
                      <w:szCs w:val="28"/>
                    </w:rPr>
                    <w:t>10</w:t>
                  </w:r>
                </w:p>
              </w:tc>
            </w:tr>
            <w:tr w:rsidR="00A84C45" w:rsidTr="00D30B3A">
              <w:tc>
                <w:tcPr>
                  <w:tcW w:w="12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pPr>
                    <w:spacing w:line="315" w:lineRule="atLeast"/>
                    <w:jc w:val="center"/>
                    <w:textAlignment w:val="baseline"/>
                  </w:pPr>
                  <w:r>
                    <w:rPr>
                      <w:color w:val="2D2D2D"/>
                      <w:sz w:val="28"/>
                      <w:szCs w:val="28"/>
                    </w:rPr>
                    <w:t>-10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pPr>
                    <w:spacing w:line="315" w:lineRule="atLeast"/>
                    <w:jc w:val="center"/>
                    <w:textAlignment w:val="baseline"/>
                  </w:pPr>
                  <w:r>
                    <w:rPr>
                      <w:color w:val="2D2D2D"/>
                      <w:sz w:val="28"/>
                      <w:szCs w:val="28"/>
                    </w:rPr>
                    <w:t>0,6</w:t>
                  </w:r>
                </w:p>
              </w:tc>
              <w:tc>
                <w:tcPr>
                  <w:tcW w:w="295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pPr>
                    <w:spacing w:line="315" w:lineRule="atLeast"/>
                    <w:jc w:val="center"/>
                    <w:textAlignment w:val="baseline"/>
                  </w:pPr>
                  <w:r>
                    <w:rPr>
                      <w:color w:val="2D2D2D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pPr>
                    <w:spacing w:line="315" w:lineRule="atLeast"/>
                    <w:jc w:val="center"/>
                    <w:textAlignment w:val="baseline"/>
                  </w:pPr>
                  <w:r>
                    <w:rPr>
                      <w:color w:val="2D2D2D"/>
                      <w:sz w:val="28"/>
                      <w:szCs w:val="28"/>
                    </w:rPr>
                    <w:t>0,8</w:t>
                  </w:r>
                </w:p>
              </w:tc>
              <w:tc>
                <w:tcPr>
                  <w:tcW w:w="277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pPr>
                    <w:spacing w:line="315" w:lineRule="atLeast"/>
                    <w:jc w:val="center"/>
                    <w:textAlignment w:val="baseline"/>
                  </w:pPr>
                  <w:r>
                    <w:rPr>
                      <w:color w:val="2D2D2D"/>
                      <w:sz w:val="28"/>
                      <w:szCs w:val="28"/>
                    </w:rPr>
                    <w:t>12,5</w:t>
                  </w:r>
                </w:p>
              </w:tc>
            </w:tr>
            <w:tr w:rsidR="00A84C45" w:rsidTr="00D30B3A">
              <w:tc>
                <w:tcPr>
                  <w:tcW w:w="12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pPr>
                    <w:spacing w:line="315" w:lineRule="atLeast"/>
                    <w:jc w:val="center"/>
                    <w:textAlignment w:val="baseline"/>
                  </w:pPr>
                  <w:r>
                    <w:rPr>
                      <w:color w:val="2D2D2D"/>
                      <w:sz w:val="28"/>
                      <w:szCs w:val="28"/>
                    </w:rPr>
                    <w:t>-20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pPr>
                    <w:spacing w:line="315" w:lineRule="atLeast"/>
                    <w:jc w:val="center"/>
                    <w:textAlignment w:val="baseline"/>
                  </w:pPr>
                  <w:r>
                    <w:rPr>
                      <w:color w:val="2D2D2D"/>
                      <w:sz w:val="28"/>
                      <w:szCs w:val="28"/>
                    </w:rPr>
                    <w:t>0,8</w:t>
                  </w:r>
                </w:p>
              </w:tc>
              <w:tc>
                <w:tcPr>
                  <w:tcW w:w="295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pPr>
                    <w:spacing w:line="315" w:lineRule="atLeast"/>
                    <w:jc w:val="center"/>
                    <w:textAlignment w:val="baseline"/>
                  </w:pPr>
                  <w:r>
                    <w:rPr>
                      <w:color w:val="2D2D2D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pPr>
                    <w:spacing w:line="315" w:lineRule="atLeast"/>
                    <w:jc w:val="center"/>
                    <w:textAlignment w:val="baseline"/>
                  </w:pPr>
                  <w:r>
                    <w:rPr>
                      <w:color w:val="2D2D2D"/>
                      <w:sz w:val="28"/>
                      <w:szCs w:val="28"/>
                    </w:rPr>
                    <w:t>1,1</w:t>
                  </w:r>
                </w:p>
              </w:tc>
              <w:tc>
                <w:tcPr>
                  <w:tcW w:w="277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pPr>
                    <w:spacing w:line="315" w:lineRule="atLeast"/>
                    <w:jc w:val="center"/>
                    <w:textAlignment w:val="baseline"/>
                  </w:pPr>
                  <w:r>
                    <w:rPr>
                      <w:color w:val="2D2D2D"/>
                      <w:sz w:val="28"/>
                      <w:szCs w:val="28"/>
                    </w:rPr>
                    <w:t>9</w:t>
                  </w:r>
                </w:p>
              </w:tc>
            </w:tr>
            <w:tr w:rsidR="00A84C45" w:rsidTr="00D30B3A">
              <w:tc>
                <w:tcPr>
                  <w:tcW w:w="12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pPr>
                    <w:spacing w:line="315" w:lineRule="atLeast"/>
                    <w:jc w:val="center"/>
                    <w:textAlignment w:val="baseline"/>
                  </w:pPr>
                  <w:r>
                    <w:rPr>
                      <w:color w:val="2D2D2D"/>
                      <w:sz w:val="28"/>
                      <w:szCs w:val="28"/>
                    </w:rPr>
                    <w:t>-30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pPr>
                    <w:spacing w:line="315" w:lineRule="atLeast"/>
                    <w:jc w:val="center"/>
                    <w:textAlignment w:val="baseline"/>
                  </w:pPr>
                  <w:r>
                    <w:rPr>
                      <w:color w:val="2D2D2D"/>
                      <w:sz w:val="28"/>
                      <w:szCs w:val="28"/>
                    </w:rPr>
                    <w:t>1,0</w:t>
                  </w:r>
                </w:p>
              </w:tc>
              <w:tc>
                <w:tcPr>
                  <w:tcW w:w="295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pPr>
                    <w:spacing w:line="315" w:lineRule="atLeast"/>
                    <w:jc w:val="center"/>
                    <w:textAlignment w:val="baseline"/>
                  </w:pPr>
                  <w:r>
                    <w:rPr>
                      <w:color w:val="2D2D2D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pPr>
                    <w:spacing w:line="315" w:lineRule="atLeast"/>
                    <w:jc w:val="center"/>
                    <w:textAlignment w:val="baseline"/>
                  </w:pPr>
                  <w:r>
                    <w:rPr>
                      <w:color w:val="2D2D2D"/>
                      <w:sz w:val="28"/>
                      <w:szCs w:val="28"/>
                    </w:rPr>
                    <w:t>1,5</w:t>
                  </w:r>
                </w:p>
              </w:tc>
              <w:tc>
                <w:tcPr>
                  <w:tcW w:w="277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A84C45" w:rsidRDefault="00A84C45" w:rsidP="00D30B3A">
                  <w:pPr>
                    <w:spacing w:line="315" w:lineRule="atLeast"/>
                    <w:jc w:val="center"/>
                    <w:textAlignment w:val="baseline"/>
                  </w:pPr>
                  <w:r>
                    <w:rPr>
                      <w:color w:val="2D2D2D"/>
                      <w:sz w:val="28"/>
                      <w:szCs w:val="28"/>
                    </w:rPr>
                    <w:t>6,6</w:t>
                  </w:r>
                </w:p>
              </w:tc>
            </w:tr>
          </w:tbl>
          <w:p w:rsidR="00A84C45" w:rsidRPr="00A84C45" w:rsidRDefault="00A84C45" w:rsidP="00D30B3A">
            <w:pPr>
              <w:spacing w:line="315" w:lineRule="atLeast"/>
              <w:textAlignment w:val="baseline"/>
            </w:pPr>
            <w:r>
              <w:rPr>
                <w:rFonts w:ascii="Arial" w:hAnsi="Arial" w:cs="Arial"/>
                <w:color w:val="2D2D2D"/>
                <w:sz w:val="28"/>
                <w:szCs w:val="28"/>
              </w:rPr>
              <w:t> </w:t>
            </w:r>
            <w:r>
              <w:rPr>
                <w:rFonts w:ascii="Arial" w:hAnsi="Arial" w:cs="Arial"/>
                <w:color w:val="2D2D2D"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    Расчет выполнен в соответствии с организационно-методическими рекомендациями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Федерации, утвержденными </w:t>
            </w:r>
            <w:bookmarkStart w:id="0" w:name="_GoBack"/>
            <w:r w:rsidRPr="00A84C45">
              <w:fldChar w:fldCharType="begin"/>
            </w:r>
            <w:r w:rsidRPr="00A84C45">
              <w:instrText xml:space="preserve"> HYPERLINK "http://docs.cntd.ru/document/901770404" \t "_blank" </w:instrText>
            </w:r>
            <w:r w:rsidRPr="00A84C45">
              <w:fldChar w:fldCharType="separate"/>
            </w:r>
            <w:r w:rsidRPr="00A84C45">
              <w:rPr>
                <w:rStyle w:val="a4"/>
                <w:color w:val="auto"/>
                <w:sz w:val="28"/>
                <w:szCs w:val="28"/>
              </w:rPr>
              <w:t>Приказом Госстроя России от 06.09.2000 N 203</w:t>
            </w:r>
            <w:r w:rsidRPr="00A84C45">
              <w:rPr>
                <w:rStyle w:val="a4"/>
                <w:color w:val="auto"/>
                <w:sz w:val="28"/>
                <w:szCs w:val="28"/>
              </w:rPr>
              <w:fldChar w:fldCharType="end"/>
            </w:r>
            <w:r w:rsidRPr="00A84C45">
              <w:rPr>
                <w:sz w:val="28"/>
                <w:szCs w:val="28"/>
              </w:rPr>
              <w:t>.</w:t>
            </w:r>
          </w:p>
          <w:bookmarkEnd w:id="0"/>
          <w:p w:rsidR="00A84C45" w:rsidRDefault="00A84C45" w:rsidP="00D30B3A">
            <w:r>
              <w:lastRenderedPageBreak/>
              <w:t> </w:t>
            </w:r>
          </w:p>
        </w:tc>
      </w:tr>
    </w:tbl>
    <w:p w:rsidR="00A84C45" w:rsidRDefault="00A84C45" w:rsidP="00A84C45"/>
    <w:p w:rsidR="00A00ABE" w:rsidRDefault="00A00ABE"/>
    <w:sectPr w:rsidR="00A00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C45"/>
    <w:rsid w:val="00A00ABE"/>
    <w:rsid w:val="00A8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897C"/>
  <w15:chartTrackingRefBased/>
  <w15:docId w15:val="{90A244B2-80A2-429E-8D67-F7A62D3D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84C45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A84C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499008102" TargetMode="External"/><Relationship Id="rId4" Type="http://schemas.openxmlformats.org/officeDocument/2006/relationships/hyperlink" Target="http://docs.cntd.ru/document/4990081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677</Words>
  <Characters>3863</Characters>
  <Application>Microsoft Office Word</Application>
  <DocSecurity>0</DocSecurity>
  <Lines>32</Lines>
  <Paragraphs>9</Paragraphs>
  <ScaleCrop>false</ScaleCrop>
  <Company>diakov.net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2023-09-14T06:57:00Z</dcterms:created>
  <dcterms:modified xsi:type="dcterms:W3CDTF">2023-09-14T06:59:00Z</dcterms:modified>
</cp:coreProperties>
</file>